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4F24" w14:textId="77777777" w:rsidR="00622C21" w:rsidRDefault="00622C21" w:rsidP="00622C21">
      <w:pPr>
        <w:rPr>
          <w:b/>
          <w:bCs/>
        </w:rPr>
      </w:pPr>
    </w:p>
    <w:p w14:paraId="3D8D4022" w14:textId="485FABCB" w:rsidR="00622C21" w:rsidRDefault="00622C21" w:rsidP="00622C21">
      <w:pPr>
        <w:spacing w:after="0"/>
        <w:rPr>
          <w:b/>
          <w:bCs/>
        </w:rPr>
      </w:pPr>
      <w:r>
        <w:rPr>
          <w:b/>
          <w:bCs/>
        </w:rPr>
        <w:t>ESTRATTO</w:t>
      </w:r>
    </w:p>
    <w:p w14:paraId="2C2D9E05" w14:textId="1A43FEA8" w:rsidR="00622C21" w:rsidRPr="00622C21" w:rsidRDefault="00622C21" w:rsidP="00622C21">
      <w:pPr>
        <w:spacing w:after="0"/>
        <w:rPr>
          <w:b/>
          <w:bCs/>
        </w:rPr>
      </w:pPr>
      <w:r w:rsidRPr="00622C21">
        <w:rPr>
          <w:b/>
          <w:bCs/>
        </w:rPr>
        <w:t>Umbria</w:t>
      </w:r>
    </w:p>
    <w:p w14:paraId="6D13F8FC" w14:textId="77777777" w:rsidR="00622C21" w:rsidRPr="00622C21" w:rsidRDefault="00622C21" w:rsidP="00622C21">
      <w:pPr>
        <w:spacing w:after="0"/>
        <w:rPr>
          <w:b/>
          <w:bCs/>
        </w:rPr>
      </w:pPr>
      <w:r w:rsidRPr="00622C21">
        <w:rPr>
          <w:b/>
          <w:bCs/>
        </w:rPr>
        <w:t>L.R. 13/06/2014, n. 10</w:t>
      </w:r>
    </w:p>
    <w:p w14:paraId="3243CD37" w14:textId="77777777" w:rsidR="00622C21" w:rsidRPr="00622C21" w:rsidRDefault="00622C21" w:rsidP="00622C21">
      <w:pPr>
        <w:spacing w:after="0"/>
        <w:rPr>
          <w:b/>
          <w:bCs/>
        </w:rPr>
      </w:pPr>
      <w:r w:rsidRPr="00622C21">
        <w:rPr>
          <w:b/>
          <w:bCs/>
        </w:rPr>
        <w:t>Testo unico in materia di commercio.</w:t>
      </w:r>
    </w:p>
    <w:p w14:paraId="77200EC1" w14:textId="6E247F95" w:rsidR="00137D15" w:rsidRDefault="00622C21" w:rsidP="00622C21">
      <w:pPr>
        <w:spacing w:after="0"/>
        <w:rPr>
          <w:b/>
          <w:bCs/>
        </w:rPr>
      </w:pPr>
      <w:r w:rsidRPr="00622C21">
        <w:rPr>
          <w:b/>
          <w:bCs/>
        </w:rPr>
        <w:t>Pubblicata nel B.U. Umbria 20 giugno 2014, n. 30.</w:t>
      </w:r>
    </w:p>
    <w:p w14:paraId="71782903" w14:textId="77777777" w:rsidR="00622C21" w:rsidRDefault="00622C21" w:rsidP="00622C21">
      <w:pPr>
        <w:rPr>
          <w:b/>
          <w:bCs/>
        </w:rPr>
      </w:pPr>
    </w:p>
    <w:p w14:paraId="1FCAEF76" w14:textId="77777777" w:rsidR="00622C21" w:rsidRPr="00622C21" w:rsidRDefault="00622C21" w:rsidP="00622C21">
      <w:pPr>
        <w:spacing w:after="0"/>
        <w:jc w:val="both"/>
        <w:rPr>
          <w:b/>
          <w:bCs/>
        </w:rPr>
      </w:pPr>
      <w:r w:rsidRPr="00622C21">
        <w:rPr>
          <w:b/>
          <w:bCs/>
        </w:rPr>
        <w:t>Articolo 44 Hobbisti.</w:t>
      </w:r>
    </w:p>
    <w:p w14:paraId="475139D7" w14:textId="77777777" w:rsidR="00622C21" w:rsidRPr="00622C21" w:rsidRDefault="00622C21" w:rsidP="00622C21">
      <w:pPr>
        <w:spacing w:after="0"/>
        <w:jc w:val="both"/>
        <w:rPr>
          <w:b/>
          <w:bCs/>
        </w:rPr>
      </w:pPr>
      <w:r w:rsidRPr="00622C21">
        <w:rPr>
          <w:b/>
          <w:bCs/>
        </w:rPr>
        <w:t>In vigore dal 5 luglio 2014</w:t>
      </w:r>
    </w:p>
    <w:p w14:paraId="187EA5DD" w14:textId="422BCD49" w:rsidR="00622C21" w:rsidRPr="00622C21" w:rsidRDefault="00622C21" w:rsidP="00622C21">
      <w:pPr>
        <w:spacing w:after="0"/>
        <w:jc w:val="both"/>
      </w:pPr>
      <w:r w:rsidRPr="00622C21">
        <w:t>1. Ai fini del presente testo unico, sono hobbisti i soggetti che vendono, propongono o espongono, in modo</w:t>
      </w:r>
      <w:r>
        <w:t xml:space="preserve"> </w:t>
      </w:r>
      <w:r w:rsidRPr="00622C21">
        <w:t>saltuario ed occasionale, merci di modico valore che non superino il prezzo unitario di 250,00 euro. Essi</w:t>
      </w:r>
      <w:r>
        <w:t xml:space="preserve"> </w:t>
      </w:r>
      <w:r w:rsidRPr="00622C21">
        <w:t>possono operare solo nei mercatini degli hobbisti di cui all'articolo 35, comma 1, lettere i) e j), senza</w:t>
      </w:r>
      <w:r>
        <w:t xml:space="preserve"> </w:t>
      </w:r>
      <w:r w:rsidRPr="00622C21">
        <w:t>l'autorizzazione o la SCIA di cui agli articoli 39 e 42, purché in possesso dei requisiti di cui all'articolo 71,</w:t>
      </w:r>
      <w:r>
        <w:t xml:space="preserve"> </w:t>
      </w:r>
      <w:r w:rsidRPr="00622C21">
        <w:t xml:space="preserve">comma 1 del </w:t>
      </w:r>
      <w:proofErr w:type="spellStart"/>
      <w:r w:rsidRPr="00622C21">
        <w:t>D.Lgs.</w:t>
      </w:r>
      <w:proofErr w:type="spellEnd"/>
      <w:r w:rsidRPr="00622C21">
        <w:t xml:space="preserve"> 59/2010. Non rientrano nella definizione di hobbisti i soggetti di cui all'articolo 4, comma</w:t>
      </w:r>
    </w:p>
    <w:p w14:paraId="1EBC3D03" w14:textId="38D9ADB3" w:rsidR="00622C21" w:rsidRPr="00622C21" w:rsidRDefault="00622C21" w:rsidP="00622C21">
      <w:pPr>
        <w:spacing w:after="0"/>
        <w:jc w:val="both"/>
      </w:pPr>
      <w:r w:rsidRPr="00622C21">
        <w:t>2 del decreto. Per l'esposizione dei prezzi si applica quanto previsto dalla normativa dettata in materia. Il</w:t>
      </w:r>
      <w:r>
        <w:t xml:space="preserve"> </w:t>
      </w:r>
      <w:r w:rsidRPr="00622C21">
        <w:t>Comune, nei provvedimenti di cui all'articolo 51 può riservare posteggi agli hobbisti in altre fiere o mercati.</w:t>
      </w:r>
    </w:p>
    <w:p w14:paraId="04BD8D2C" w14:textId="42F0134B" w:rsidR="00622C21" w:rsidRPr="00622C21" w:rsidRDefault="00622C21" w:rsidP="00622C21">
      <w:pPr>
        <w:spacing w:after="0"/>
        <w:jc w:val="both"/>
      </w:pPr>
      <w:r w:rsidRPr="00622C21">
        <w:t>2. Gli hobbisti devono essere in possesso di un tesserino rilasciato dal Comune dove si svolge il primo</w:t>
      </w:r>
      <w:r>
        <w:t xml:space="preserve"> </w:t>
      </w:r>
      <w:r w:rsidRPr="00622C21">
        <w:t>mercatino scelto. La Giunta regionale con proprio atto stabilisce le caratteristiche del tesserino identificativo</w:t>
      </w:r>
    </w:p>
    <w:p w14:paraId="2CF5A01B" w14:textId="7CF1C3FE" w:rsidR="00622C21" w:rsidRPr="00622C21" w:rsidRDefault="00622C21" w:rsidP="00622C21">
      <w:pPr>
        <w:spacing w:after="0"/>
        <w:jc w:val="both"/>
      </w:pPr>
      <w:r w:rsidRPr="00622C21">
        <w:t>e le modalità di rilascio e di restituzione in caso di perdita dei requisiti di cui all'articolo 71, comma 1 del</w:t>
      </w:r>
      <w:r>
        <w:t xml:space="preserve"> </w:t>
      </w:r>
      <w:proofErr w:type="spellStart"/>
      <w:r w:rsidRPr="00622C21">
        <w:t>D.Lgs.</w:t>
      </w:r>
      <w:proofErr w:type="spellEnd"/>
      <w:r w:rsidRPr="00622C21">
        <w:t xml:space="preserve"> 59/2010.</w:t>
      </w:r>
    </w:p>
    <w:p w14:paraId="765881F0" w14:textId="23EF0F6A" w:rsidR="00622C21" w:rsidRPr="00622C21" w:rsidRDefault="00622C21" w:rsidP="00622C21">
      <w:pPr>
        <w:spacing w:after="0"/>
        <w:jc w:val="both"/>
      </w:pPr>
      <w:r w:rsidRPr="00622C21">
        <w:t>3. Il tesserino non è cedibile o trasferibile e deve essere esposto durante il mercatino in modo visibile e</w:t>
      </w:r>
      <w:r>
        <w:t xml:space="preserve"> </w:t>
      </w:r>
      <w:r w:rsidRPr="00622C21">
        <w:t>leggibile al pubblico e agli organi preposti al controllo.</w:t>
      </w:r>
    </w:p>
    <w:p w14:paraId="1334500C" w14:textId="105FC7CF" w:rsidR="00622C21" w:rsidRPr="00622C21" w:rsidRDefault="00622C21" w:rsidP="00622C21">
      <w:pPr>
        <w:spacing w:after="0"/>
        <w:jc w:val="both"/>
      </w:pPr>
      <w:r w:rsidRPr="00622C21">
        <w:t>4. Il tesserino è vidimato dal Comune che organizza il mercatino di cui al comma 1 prima dell'assegnazione</w:t>
      </w:r>
      <w:r>
        <w:t xml:space="preserve"> </w:t>
      </w:r>
      <w:r w:rsidRPr="00622C21">
        <w:t>del posteggio che è effettuata con criteri di rotazione e senza il riconoscimento di priorità ottenute per la</w:t>
      </w:r>
      <w:r>
        <w:t xml:space="preserve"> </w:t>
      </w:r>
      <w:r w:rsidRPr="00622C21">
        <w:t>presenza ad edizioni precedenti.</w:t>
      </w:r>
    </w:p>
    <w:p w14:paraId="58EF98D3" w14:textId="77777777" w:rsidR="00622C21" w:rsidRPr="00622C21" w:rsidRDefault="00622C21" w:rsidP="00622C21">
      <w:pPr>
        <w:spacing w:after="0"/>
        <w:jc w:val="both"/>
      </w:pPr>
      <w:r w:rsidRPr="00622C21">
        <w:t>5. Gli hobbisti autorizzati secondo le modalità di cui al comma 2 possono partecipare ad un massimo di dodici</w:t>
      </w:r>
    </w:p>
    <w:p w14:paraId="5C61D32F" w14:textId="6982CB02" w:rsidR="00622C21" w:rsidRPr="00622C21" w:rsidRDefault="00622C21" w:rsidP="00622C21">
      <w:pPr>
        <w:spacing w:after="0"/>
        <w:jc w:val="both"/>
      </w:pPr>
      <w:r w:rsidRPr="00622C21">
        <w:t>manifestazioni l'anno su tutto il territorio umbro. Si considera unitaria la partecipazione a manifestazioni</w:t>
      </w:r>
      <w:r>
        <w:t xml:space="preserve"> </w:t>
      </w:r>
      <w:r w:rsidRPr="00622C21">
        <w:t>della durata di due giorni, purché consecutivi. I comuni sono tenuti a redigere un elenco degli hobbisti che</w:t>
      </w:r>
      <w:r>
        <w:t xml:space="preserve"> </w:t>
      </w:r>
      <w:r w:rsidRPr="00622C21">
        <w:t>partecipano a ciascuna manifestazione.</w:t>
      </w:r>
    </w:p>
    <w:p w14:paraId="186F0CCA" w14:textId="43F7857B" w:rsidR="00622C21" w:rsidRPr="00622C21" w:rsidRDefault="00622C21" w:rsidP="00622C21">
      <w:pPr>
        <w:spacing w:after="0"/>
        <w:jc w:val="both"/>
      </w:pPr>
      <w:r w:rsidRPr="00622C21">
        <w:t>6. La mancanza del tesserino di cui al comma 2 o della vidimazione relativa al mercatino in corso di</w:t>
      </w:r>
      <w:r>
        <w:t xml:space="preserve"> </w:t>
      </w:r>
      <w:r w:rsidRPr="00622C21">
        <w:t>svolgimento comporta l'applicazione della sanzione amministrativa pecuniaria del pagamento di una somma</w:t>
      </w:r>
    </w:p>
    <w:p w14:paraId="79F3EA19" w14:textId="6D4F5706" w:rsidR="00622C21" w:rsidRPr="00622C21" w:rsidRDefault="00622C21" w:rsidP="00622C21">
      <w:pPr>
        <w:spacing w:after="0"/>
        <w:jc w:val="both"/>
      </w:pPr>
      <w:r w:rsidRPr="00622C21">
        <w:t>da euro 250,00 ad euro 1.500,00, il sequestro cautelare delle attrezzature e delle merci e la successiva</w:t>
      </w:r>
      <w:r>
        <w:t xml:space="preserve"> </w:t>
      </w:r>
      <w:r w:rsidRPr="00622C21">
        <w:t>confisca delle stesse.</w:t>
      </w:r>
    </w:p>
    <w:p w14:paraId="1D68C4BC" w14:textId="77777777" w:rsidR="00622C21" w:rsidRPr="00622C21" w:rsidRDefault="00622C21" w:rsidP="00622C21">
      <w:pPr>
        <w:spacing w:after="0"/>
        <w:jc w:val="both"/>
      </w:pPr>
      <w:r w:rsidRPr="00622C21">
        <w:t>7. In caso di assenza del titolare del tesserino identificativo, o di mancata esposizione del tesserino al pubblico</w:t>
      </w:r>
    </w:p>
    <w:p w14:paraId="36E81B08" w14:textId="4EAFDFE6" w:rsidR="00622C21" w:rsidRPr="00622C21" w:rsidRDefault="00622C21" w:rsidP="00622C21">
      <w:pPr>
        <w:spacing w:after="0"/>
        <w:jc w:val="both"/>
      </w:pPr>
      <w:r w:rsidRPr="00622C21">
        <w:t>o agli organi preposti alla vigilanza, oppure di vendita, con un prezzo unitario superiore a euro 250,00, si</w:t>
      </w:r>
      <w:r>
        <w:t xml:space="preserve"> </w:t>
      </w:r>
      <w:r w:rsidRPr="00622C21">
        <w:t>applica la sanzione amministrativa pecuniaria del pagamento di una somma da euro 250,00 ad euro 1500,00.</w:t>
      </w:r>
    </w:p>
    <w:p w14:paraId="0161DD3F" w14:textId="77777777" w:rsidR="00622C21" w:rsidRPr="00622C21" w:rsidRDefault="00622C21" w:rsidP="00622C21">
      <w:pPr>
        <w:spacing w:after="0"/>
        <w:jc w:val="both"/>
      </w:pPr>
      <w:r w:rsidRPr="00622C21">
        <w:t xml:space="preserve">Copyright 2022 Wolters Kluwer Italia </w:t>
      </w:r>
      <w:proofErr w:type="spellStart"/>
      <w:r w:rsidRPr="00622C21">
        <w:t>Srl</w:t>
      </w:r>
      <w:proofErr w:type="spellEnd"/>
      <w:r w:rsidRPr="00622C21">
        <w:t xml:space="preserve"> - Tutti i diritti riservati 31</w:t>
      </w:r>
    </w:p>
    <w:p w14:paraId="22717D79" w14:textId="77777777" w:rsidR="00622C21" w:rsidRPr="00622C21" w:rsidRDefault="00622C21" w:rsidP="00622C21">
      <w:pPr>
        <w:spacing w:after="0"/>
        <w:jc w:val="both"/>
      </w:pPr>
      <w:r w:rsidRPr="00622C21">
        <w:t>8. Le sanzioni amministrative di cui al presente articolo sono irrogate e introitate dal Comune territorialmente</w:t>
      </w:r>
    </w:p>
    <w:p w14:paraId="514876D3" w14:textId="76E75EA6" w:rsidR="00622C21" w:rsidRDefault="00622C21" w:rsidP="00622C21">
      <w:pPr>
        <w:spacing w:after="0"/>
        <w:jc w:val="both"/>
      </w:pPr>
      <w:r w:rsidRPr="00622C21">
        <w:t>competente, secondo le procedure di cui alla L. 689/1981 e alla L.R. n. 15/1983.</w:t>
      </w:r>
    </w:p>
    <w:sectPr w:rsidR="00622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21"/>
    <w:rsid w:val="00072EA0"/>
    <w:rsid w:val="00137D15"/>
    <w:rsid w:val="00622C21"/>
    <w:rsid w:val="00F47EEE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5C13"/>
  <w15:chartTrackingRefBased/>
  <w15:docId w15:val="{7B9195CD-88F3-4681-B826-EA8F0C0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2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2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2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2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2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2C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2C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2C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2C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2C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2C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2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2C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2C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2C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2C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2025-05-29T06:02:00Z</dcterms:created>
  <dcterms:modified xsi:type="dcterms:W3CDTF">2025-05-29T06:04:00Z</dcterms:modified>
</cp:coreProperties>
</file>